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B968" w14:textId="77777777" w:rsidR="002D144C" w:rsidRDefault="002D144C" w:rsidP="00840562"/>
    <w:p w14:paraId="5F06CED0" w14:textId="77777777" w:rsidR="002D144C" w:rsidRDefault="002D144C" w:rsidP="00840562"/>
    <w:p w14:paraId="574E6FB3" w14:textId="77777777" w:rsidR="002D144C" w:rsidRDefault="002D144C" w:rsidP="00840562"/>
    <w:p w14:paraId="257BED39" w14:textId="77777777" w:rsidR="002D144C" w:rsidRDefault="002D144C" w:rsidP="00840562"/>
    <w:p w14:paraId="4546B36F" w14:textId="77777777" w:rsidR="00C71788" w:rsidRDefault="00C71788" w:rsidP="00840562"/>
    <w:p w14:paraId="0470736D" w14:textId="77777777" w:rsidR="00942A45" w:rsidRDefault="00942A45" w:rsidP="00840562">
      <w:pPr>
        <w:rPr>
          <w:sz w:val="40"/>
          <w:szCs w:val="40"/>
        </w:rPr>
        <w:sectPr w:rsidR="00942A45" w:rsidSect="002F071F">
          <w:pgSz w:w="11906" w:h="16838"/>
          <w:pgMar w:top="720" w:right="720" w:bottom="720" w:left="720" w:header="708" w:footer="708" w:gutter="0"/>
          <w:cols w:num="2" w:space="708"/>
          <w:docGrid w:linePitch="360"/>
        </w:sectPr>
      </w:pPr>
    </w:p>
    <w:p w14:paraId="64D9CE6C" w14:textId="77777777" w:rsidR="009B746E" w:rsidRPr="00942A45" w:rsidRDefault="009B746E" w:rsidP="00942A45">
      <w:pPr>
        <w:jc w:val="center"/>
        <w:rPr>
          <w:b/>
          <w:bCs/>
          <w:sz w:val="40"/>
          <w:szCs w:val="40"/>
          <w:u w:val="single"/>
        </w:rPr>
      </w:pPr>
    </w:p>
    <w:p w14:paraId="447C4DDE" w14:textId="3A9692BE" w:rsidR="00E367E7" w:rsidRPr="00E367E7" w:rsidRDefault="002D144C" w:rsidP="00E367E7">
      <w:pPr>
        <w:rPr>
          <w:rFonts w:ascii="Aparajita" w:hAnsi="Aparajita" w:cs="Aparajita"/>
          <w:b/>
          <w:bCs/>
          <w:u w:val="single"/>
          <w:lang w:val="en-US"/>
        </w:rPr>
      </w:pPr>
      <w:r>
        <w:rPr>
          <w:noProof/>
          <w:lang w:eastAsia="en-ZA"/>
        </w:rPr>
        <w:drawing>
          <wp:anchor distT="0" distB="0" distL="114300" distR="114300" simplePos="0" relativeHeight="251661312" behindDoc="1" locked="1" layoutInCell="1" allowOverlap="1" wp14:anchorId="3082F104" wp14:editId="23C8C6F9">
            <wp:simplePos x="0" y="0"/>
            <wp:positionH relativeFrom="page">
              <wp:posOffset>18415</wp:posOffset>
            </wp:positionH>
            <wp:positionV relativeFrom="page">
              <wp:posOffset>105410</wp:posOffset>
            </wp:positionV>
            <wp:extent cx="7552690" cy="16668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inal.jpg"/>
                    <pic:cNvPicPr/>
                  </pic:nvPicPr>
                  <pic:blipFill rotWithShape="1">
                    <a:blip r:embed="rId5" cstate="print">
                      <a:extLst>
                        <a:ext uri="{28A0092B-C50C-407E-A947-70E740481C1C}">
                          <a14:useLocalDpi xmlns:a14="http://schemas.microsoft.com/office/drawing/2010/main" val="0"/>
                        </a:ext>
                      </a:extLst>
                    </a:blip>
                    <a:srcRect b="85009"/>
                    <a:stretch/>
                  </pic:blipFill>
                  <pic:spPr bwMode="auto">
                    <a:xfrm>
                      <a:off x="0" y="0"/>
                      <a:ext cx="7552690"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0562">
        <w:rPr>
          <w:noProof/>
          <w:lang w:eastAsia="en-ZA"/>
        </w:rPr>
        <w:drawing>
          <wp:anchor distT="0" distB="0" distL="114300" distR="114300" simplePos="0" relativeHeight="251659264" behindDoc="1" locked="1" layoutInCell="1" allowOverlap="1" wp14:anchorId="2AC83220" wp14:editId="60417881">
            <wp:simplePos x="0" y="0"/>
            <wp:positionH relativeFrom="page">
              <wp:posOffset>0</wp:posOffset>
            </wp:positionH>
            <wp:positionV relativeFrom="page">
              <wp:posOffset>9235440</wp:posOffset>
            </wp:positionV>
            <wp:extent cx="7552690" cy="59055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inal.jpg"/>
                    <pic:cNvPicPr/>
                  </pic:nvPicPr>
                  <pic:blipFill rotWithShape="1">
                    <a:blip r:embed="rId5" cstate="print">
                      <a:extLst>
                        <a:ext uri="{28A0092B-C50C-407E-A947-70E740481C1C}">
                          <a14:useLocalDpi xmlns:a14="http://schemas.microsoft.com/office/drawing/2010/main" val="0"/>
                        </a:ext>
                      </a:extLst>
                    </a:blip>
                    <a:srcRect t="90035" b="4654"/>
                    <a:stretch/>
                  </pic:blipFill>
                  <pic:spPr bwMode="auto">
                    <a:xfrm>
                      <a:off x="0" y="0"/>
                      <a:ext cx="7552690"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67E7" w:rsidRPr="00E367E7">
        <w:rPr>
          <w:rFonts w:ascii="Aparajita" w:hAnsi="Aparajita" w:cs="Aparajita"/>
          <w:b/>
          <w:bCs/>
          <w:u w:val="single"/>
          <w:lang w:val="en-US"/>
        </w:rPr>
        <w:t>Veterinarian Report</w:t>
      </w:r>
    </w:p>
    <w:p w14:paraId="6FC40B92"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To whom it may concern,</w:t>
      </w:r>
    </w:p>
    <w:p w14:paraId="4EFCDCA5"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This report serves to outline the clinical findings for the following patient examined by me on 01/11/2025 at around 12:00pm.</w:t>
      </w:r>
    </w:p>
    <w:p w14:paraId="55A9827A" w14:textId="0EFB9227" w:rsidR="00E367E7" w:rsidRPr="00EB30B0" w:rsidRDefault="00E367E7" w:rsidP="00E367E7">
      <w:pPr>
        <w:rPr>
          <w:rFonts w:ascii="Aparajita" w:hAnsi="Aparajita" w:cs="Aparajita"/>
          <w:b/>
          <w:bCs/>
          <w:lang w:val="it-IT"/>
        </w:rPr>
      </w:pPr>
      <w:proofErr w:type="spellStart"/>
      <w:r w:rsidRPr="00EB30B0">
        <w:rPr>
          <w:rFonts w:ascii="Aparajita" w:hAnsi="Aparajita" w:cs="Aparajita"/>
          <w:b/>
          <w:bCs/>
          <w:lang w:val="it-IT"/>
        </w:rPr>
        <w:t>Patient</w:t>
      </w:r>
      <w:proofErr w:type="spellEnd"/>
      <w:r w:rsidRPr="00EB30B0">
        <w:rPr>
          <w:rFonts w:ascii="Aparajita" w:hAnsi="Aparajita" w:cs="Aparajita"/>
          <w:b/>
          <w:bCs/>
          <w:lang w:val="it-IT"/>
        </w:rPr>
        <w:t xml:space="preserve">: </w:t>
      </w:r>
      <w:r w:rsidR="00EB30B0" w:rsidRPr="00EB30B0">
        <w:rPr>
          <w:rFonts w:ascii="Aparajita" w:hAnsi="Aparajita" w:cs="Aparajita"/>
          <w:b/>
          <w:bCs/>
          <w:lang w:val="it-IT"/>
        </w:rPr>
        <w:t>Romeo</w:t>
      </w:r>
      <w:r w:rsidRPr="00EB30B0">
        <w:rPr>
          <w:rFonts w:ascii="Aparajita" w:hAnsi="Aparajita" w:cs="Aparajita"/>
          <w:b/>
          <w:bCs/>
          <w:lang w:val="it-IT"/>
        </w:rPr>
        <w:t xml:space="preserve">, 12yo MN Siamese </w:t>
      </w:r>
      <w:proofErr w:type="spellStart"/>
      <w:r w:rsidRPr="00EB30B0">
        <w:rPr>
          <w:rFonts w:ascii="Aparajita" w:hAnsi="Aparajita" w:cs="Aparajita"/>
          <w:b/>
          <w:bCs/>
          <w:lang w:val="it-IT"/>
        </w:rPr>
        <w:t>Cat</w:t>
      </w:r>
      <w:proofErr w:type="spellEnd"/>
    </w:p>
    <w:p w14:paraId="62FF68AC"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Owner: Susan Harris-Jones </w:t>
      </w:r>
    </w:p>
    <w:p w14:paraId="7B5F6CF7"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ID no.: 6208030277183</w:t>
      </w:r>
    </w:p>
    <w:p w14:paraId="16E441CF"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Address: Cottage Farm 13, Kleine </w:t>
      </w:r>
      <w:proofErr w:type="spellStart"/>
      <w:r w:rsidRPr="00E367E7">
        <w:rPr>
          <w:rFonts w:ascii="Aparajita" w:hAnsi="Aparajita" w:cs="Aparajita"/>
          <w:b/>
          <w:bCs/>
          <w:lang w:val="en-US"/>
        </w:rPr>
        <w:t>Zoute</w:t>
      </w:r>
      <w:proofErr w:type="spellEnd"/>
      <w:r w:rsidRPr="00E367E7">
        <w:rPr>
          <w:rFonts w:ascii="Aparajita" w:hAnsi="Aparajita" w:cs="Aparajita"/>
          <w:b/>
          <w:bCs/>
          <w:lang w:val="en-US"/>
        </w:rPr>
        <w:t xml:space="preserve"> Rivier</w:t>
      </w:r>
    </w:p>
    <w:p w14:paraId="4DBD6243" w14:textId="77777777" w:rsidR="00E367E7" w:rsidRPr="00E367E7" w:rsidRDefault="00E367E7" w:rsidP="00E367E7">
      <w:pPr>
        <w:rPr>
          <w:rFonts w:ascii="Aparajita" w:hAnsi="Aparajita" w:cs="Aparajita"/>
          <w:b/>
          <w:bCs/>
          <w:lang w:val="en-US"/>
        </w:rPr>
      </w:pPr>
    </w:p>
    <w:p w14:paraId="756F89CA"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Diagnosis: Hyperthyroidism with pleural and pericardial effusion</w:t>
      </w:r>
    </w:p>
    <w:p w14:paraId="53060856"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Recommendation: Humane euthanasia</w:t>
      </w:r>
    </w:p>
    <w:p w14:paraId="631011CC" w14:textId="5A9A2FBB"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History and Presenting Complaint: </w:t>
      </w:r>
      <w:r w:rsidR="00EB30B0">
        <w:rPr>
          <w:rFonts w:ascii="Aparajita" w:hAnsi="Aparajita" w:cs="Aparajita"/>
          <w:b/>
          <w:bCs/>
          <w:lang w:val="en-US"/>
        </w:rPr>
        <w:t>Romeo</w:t>
      </w:r>
      <w:r w:rsidRPr="00E367E7">
        <w:rPr>
          <w:rFonts w:ascii="Aparajita" w:hAnsi="Aparajita" w:cs="Aparajita"/>
          <w:b/>
          <w:bCs/>
          <w:lang w:val="en-US"/>
        </w:rPr>
        <w:t xml:space="preserve"> presented to me with the primary complaint of sudden onset weight loss and </w:t>
      </w:r>
      <w:proofErr w:type="spellStart"/>
      <w:r w:rsidRPr="00E367E7">
        <w:rPr>
          <w:rFonts w:ascii="Aparajita" w:hAnsi="Aparajita" w:cs="Aparajita"/>
          <w:b/>
          <w:bCs/>
          <w:lang w:val="en-US"/>
        </w:rPr>
        <w:t>laboured</w:t>
      </w:r>
      <w:proofErr w:type="spellEnd"/>
      <w:r w:rsidRPr="00E367E7">
        <w:rPr>
          <w:rFonts w:ascii="Aparajita" w:hAnsi="Aparajita" w:cs="Aparajita"/>
          <w:b/>
          <w:bCs/>
          <w:lang w:val="en-US"/>
        </w:rPr>
        <w:t xml:space="preserve"> breathing. The owner reports that these signs first started a few weeks ago, and initially she was not concerned as they were mild, but over the last few days became more noticeable. The weight loss was despite a good appetite. Tick and flea and deworming was up to date at the time of the consultation and there was no evidence of internal or external parasites. The patient has a history of ear infections with secondary othematoma that was treated at Duynevet in 2023, with no other notable medical history. </w:t>
      </w:r>
      <w:r w:rsidR="00EB30B0">
        <w:rPr>
          <w:rFonts w:ascii="Aparajita" w:hAnsi="Aparajita" w:cs="Aparajita"/>
          <w:b/>
          <w:bCs/>
          <w:lang w:val="en-US"/>
        </w:rPr>
        <w:t>Romeo</w:t>
      </w:r>
      <w:r w:rsidRPr="00E367E7">
        <w:rPr>
          <w:rFonts w:ascii="Aparajita" w:hAnsi="Aparajita" w:cs="Aparajita"/>
          <w:b/>
          <w:bCs/>
          <w:lang w:val="en-US"/>
        </w:rPr>
        <w:t xml:space="preserve"> is known by the owner and according to the previous medical notes to become extremely stressed during travel and at the vet clinic.</w:t>
      </w:r>
    </w:p>
    <w:p w14:paraId="7A87A456" w14:textId="77777777" w:rsidR="00E367E7" w:rsidRPr="00E367E7" w:rsidRDefault="00E367E7" w:rsidP="00E367E7">
      <w:pPr>
        <w:rPr>
          <w:rFonts w:ascii="Aparajita" w:hAnsi="Aparajita" w:cs="Aparajita"/>
          <w:b/>
          <w:bCs/>
          <w:lang w:val="en-US"/>
        </w:rPr>
      </w:pPr>
    </w:p>
    <w:p w14:paraId="7C52EA32" w14:textId="21C0AFD3" w:rsidR="00E367E7" w:rsidRDefault="00E367E7" w:rsidP="00E367E7">
      <w:pPr>
        <w:rPr>
          <w:rFonts w:ascii="Aparajita" w:hAnsi="Aparajita" w:cs="Aparajita"/>
          <w:b/>
          <w:bCs/>
          <w:lang w:val="en-US"/>
        </w:rPr>
      </w:pPr>
      <w:r w:rsidRPr="00E367E7">
        <w:rPr>
          <w:rFonts w:ascii="Aparajita" w:hAnsi="Aparajita" w:cs="Aparajita"/>
          <w:b/>
          <w:bCs/>
          <w:lang w:val="en-US"/>
        </w:rPr>
        <w:t xml:space="preserve">Physical examination: On physical examination, </w:t>
      </w:r>
      <w:r w:rsidR="00EB30B0">
        <w:rPr>
          <w:rFonts w:ascii="Aparajita" w:hAnsi="Aparajita" w:cs="Aparajita"/>
          <w:b/>
          <w:bCs/>
          <w:lang w:val="en-US"/>
        </w:rPr>
        <w:t>Romeo</w:t>
      </w:r>
      <w:r w:rsidRPr="00E367E7">
        <w:rPr>
          <w:rFonts w:ascii="Aparajita" w:hAnsi="Aparajita" w:cs="Aparajita"/>
          <w:b/>
          <w:bCs/>
          <w:lang w:val="en-US"/>
        </w:rPr>
        <w:t xml:space="preserve"> was bright, alert, responsive and visibly anxious. His mucous membranes were pink, moist and glistening and his rectal temperature was 37.8. </w:t>
      </w:r>
      <w:r w:rsidR="00EB30B0">
        <w:rPr>
          <w:rFonts w:ascii="Aparajita" w:hAnsi="Aparajita" w:cs="Aparajita"/>
          <w:b/>
          <w:bCs/>
          <w:lang w:val="en-US"/>
        </w:rPr>
        <w:t>Romeo</w:t>
      </w:r>
      <w:r w:rsidRPr="00E367E7">
        <w:rPr>
          <w:rFonts w:ascii="Aparajita" w:hAnsi="Aparajita" w:cs="Aparajita"/>
          <w:b/>
          <w:bCs/>
          <w:lang w:val="en-US"/>
        </w:rPr>
        <w:t xml:space="preserve"> had a body condition score of 2/5 with notable muscle loss, and he had an unkempt hair coat. His was tachycardic with a heart rate of &gt;200 bpm with a galloping rhythm (he was stressed during handling, but the tachycardia was still considered pathological). </w:t>
      </w:r>
      <w:r w:rsidR="00EB30B0">
        <w:rPr>
          <w:rFonts w:ascii="Aparajita" w:hAnsi="Aparajita" w:cs="Aparajita"/>
          <w:b/>
          <w:bCs/>
          <w:lang w:val="en-US"/>
        </w:rPr>
        <w:t>Romeo</w:t>
      </w:r>
      <w:r w:rsidRPr="00E367E7">
        <w:rPr>
          <w:rFonts w:ascii="Aparajita" w:hAnsi="Aparajita" w:cs="Aparajita"/>
          <w:b/>
          <w:bCs/>
          <w:lang w:val="en-US"/>
        </w:rPr>
        <w:t xml:space="preserve"> had an increased abdominal effort while breathing and was </w:t>
      </w:r>
      <w:proofErr w:type="spellStart"/>
      <w:r w:rsidRPr="00E367E7">
        <w:rPr>
          <w:rFonts w:ascii="Aparajita" w:hAnsi="Aparajita" w:cs="Aparajita"/>
          <w:b/>
          <w:bCs/>
          <w:lang w:val="en-US"/>
        </w:rPr>
        <w:t>tachypnoeic</w:t>
      </w:r>
      <w:proofErr w:type="spellEnd"/>
      <w:r w:rsidRPr="00E367E7">
        <w:rPr>
          <w:rFonts w:ascii="Aparajita" w:hAnsi="Aparajita" w:cs="Aparajita"/>
          <w:b/>
          <w:bCs/>
          <w:lang w:val="en-US"/>
        </w:rPr>
        <w:t xml:space="preserve"> at rest. During handling he would be open-mouthed breathing due to stress.</w:t>
      </w:r>
    </w:p>
    <w:p w14:paraId="037E7888" w14:textId="77777777" w:rsidR="00E367E7" w:rsidRPr="00E367E7" w:rsidRDefault="00E367E7" w:rsidP="00E367E7">
      <w:pPr>
        <w:rPr>
          <w:rFonts w:ascii="Aparajita" w:hAnsi="Aparajita" w:cs="Aparajita"/>
          <w:b/>
          <w:bCs/>
          <w:lang w:val="en-US"/>
        </w:rPr>
      </w:pPr>
    </w:p>
    <w:p w14:paraId="13EF6EE9" w14:textId="649CA913"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Diagnostic testing: Since </w:t>
      </w:r>
      <w:r w:rsidR="00EB30B0">
        <w:rPr>
          <w:rFonts w:ascii="Aparajita" w:hAnsi="Aparajita" w:cs="Aparajita"/>
          <w:b/>
          <w:bCs/>
          <w:lang w:val="en-US"/>
        </w:rPr>
        <w:t>Romeo</w:t>
      </w:r>
      <w:r w:rsidRPr="00E367E7">
        <w:rPr>
          <w:rFonts w:ascii="Aparajita" w:hAnsi="Aparajita" w:cs="Aparajita"/>
          <w:b/>
          <w:bCs/>
          <w:lang w:val="en-US"/>
        </w:rPr>
        <w:t>’s clinical signs were consistent with hyperthyroidism and respiratory disease, his TT4 levels were measured (attached to this email) and thoracic radiographs (also attached) and ultrasound was performed.</w:t>
      </w:r>
    </w:p>
    <w:p w14:paraId="637EA61A" w14:textId="77777777" w:rsidR="00E367E7" w:rsidRDefault="00E367E7" w:rsidP="00E367E7">
      <w:pPr>
        <w:rPr>
          <w:rFonts w:ascii="Aparajita" w:hAnsi="Aparajita" w:cs="Aparajita"/>
          <w:b/>
          <w:bCs/>
          <w:lang w:val="en-US"/>
        </w:rPr>
      </w:pPr>
    </w:p>
    <w:p w14:paraId="319090C8" w14:textId="77777777" w:rsidR="00E367E7" w:rsidRDefault="00E367E7" w:rsidP="00E367E7">
      <w:pPr>
        <w:rPr>
          <w:rFonts w:ascii="Aparajita" w:hAnsi="Aparajita" w:cs="Aparajita"/>
          <w:b/>
          <w:bCs/>
          <w:lang w:val="en-US"/>
        </w:rPr>
      </w:pPr>
    </w:p>
    <w:p w14:paraId="658C4345" w14:textId="77777777" w:rsidR="00E367E7" w:rsidRDefault="00E367E7" w:rsidP="00E367E7">
      <w:pPr>
        <w:rPr>
          <w:rFonts w:ascii="Aparajita" w:hAnsi="Aparajita" w:cs="Aparajita"/>
          <w:b/>
          <w:bCs/>
          <w:lang w:val="en-US"/>
        </w:rPr>
      </w:pPr>
    </w:p>
    <w:p w14:paraId="2BB225AB" w14:textId="77777777" w:rsidR="00E367E7" w:rsidRDefault="00E367E7" w:rsidP="00E367E7">
      <w:pPr>
        <w:rPr>
          <w:rFonts w:ascii="Aparajita" w:hAnsi="Aparajita" w:cs="Aparajita"/>
          <w:b/>
          <w:bCs/>
          <w:lang w:val="en-US"/>
        </w:rPr>
      </w:pPr>
    </w:p>
    <w:p w14:paraId="196C3DEB" w14:textId="77777777" w:rsidR="00E367E7" w:rsidRPr="00E367E7" w:rsidRDefault="00E367E7" w:rsidP="00E367E7">
      <w:pPr>
        <w:rPr>
          <w:rFonts w:ascii="Aparajita" w:hAnsi="Aparajita" w:cs="Aparajita"/>
          <w:b/>
          <w:bCs/>
          <w:lang w:val="en-US"/>
        </w:rPr>
      </w:pPr>
    </w:p>
    <w:p w14:paraId="0CB71BE6" w14:textId="0797F174" w:rsidR="00E367E7" w:rsidRPr="00E367E7" w:rsidRDefault="00E367E7" w:rsidP="00E367E7">
      <w:pPr>
        <w:rPr>
          <w:rFonts w:ascii="Aparajita" w:hAnsi="Aparajita" w:cs="Aparajita"/>
          <w:b/>
          <w:bCs/>
          <w:lang w:val="en-US"/>
        </w:rPr>
      </w:pPr>
      <w:r w:rsidRPr="00E367E7">
        <w:rPr>
          <w:rFonts w:ascii="Aparajita" w:hAnsi="Aparajita" w:cs="Aparajita"/>
          <w:b/>
          <w:bCs/>
          <w:lang w:val="en-US"/>
        </w:rPr>
        <w:lastRenderedPageBreak/>
        <w:t xml:space="preserve">Diagnostic results: The IDEXX results revealed that </w:t>
      </w:r>
      <w:r w:rsidR="00EB30B0">
        <w:rPr>
          <w:rFonts w:ascii="Aparajita" w:hAnsi="Aparajita" w:cs="Aparajita"/>
          <w:b/>
          <w:bCs/>
          <w:lang w:val="en-US"/>
        </w:rPr>
        <w:t>Romeo</w:t>
      </w:r>
      <w:r w:rsidRPr="00E367E7">
        <w:rPr>
          <w:rFonts w:ascii="Aparajita" w:hAnsi="Aparajita" w:cs="Aparajita"/>
          <w:b/>
          <w:bCs/>
          <w:lang w:val="en-US"/>
        </w:rPr>
        <w:t xml:space="preserve"> had a severely elevated TT4 of 158 nmol/L (normal values are 10 – 60 nmol/L), which is consistent with hyperthyroidism. The radiographs revealed a bilateral pleural effusion in the cranial thoracic area with border effacement of the cardiac silhouette and ultrasound revealed a pericardial effusion. The diaphragm is also not clearly visible on the radiographs and is suspicious for a diaphragmatic hernia, but this was not confirmed.</w:t>
      </w:r>
    </w:p>
    <w:p w14:paraId="67B601F9" w14:textId="77777777" w:rsidR="00E367E7" w:rsidRPr="00E367E7" w:rsidRDefault="00E367E7" w:rsidP="00E367E7">
      <w:pPr>
        <w:rPr>
          <w:rFonts w:ascii="Aparajita" w:hAnsi="Aparajita" w:cs="Aparajita"/>
          <w:b/>
          <w:bCs/>
          <w:lang w:val="en-US"/>
        </w:rPr>
      </w:pPr>
    </w:p>
    <w:p w14:paraId="4C7688DE" w14:textId="584A0E1B"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Treatment recommendation: While hyperthyroidism is easily treated with methimazole or a low iodine diet (Hill’s </w:t>
      </w:r>
      <w:proofErr w:type="spellStart"/>
      <w:r w:rsidRPr="00E367E7">
        <w:rPr>
          <w:rFonts w:ascii="Aparajita" w:hAnsi="Aparajita" w:cs="Aparajita"/>
          <w:b/>
          <w:bCs/>
          <w:lang w:val="en-US"/>
        </w:rPr>
        <w:t>i</w:t>
      </w:r>
      <w:proofErr w:type="spellEnd"/>
      <w:r w:rsidRPr="00E367E7">
        <w:rPr>
          <w:rFonts w:ascii="Aparajita" w:hAnsi="Aparajita" w:cs="Aparajita"/>
          <w:b/>
          <w:bCs/>
          <w:lang w:val="en-US"/>
        </w:rPr>
        <w:t xml:space="preserve">/d), the cardiac and respiratory disease carries a poor prognosis even with the most specialized treatment. After a discussion with the owner, it was determined that humane euthanasia was in </w:t>
      </w:r>
      <w:r w:rsidR="00EB30B0">
        <w:rPr>
          <w:rFonts w:ascii="Aparajita" w:hAnsi="Aparajita" w:cs="Aparajita"/>
          <w:b/>
          <w:bCs/>
          <w:lang w:val="en-US"/>
        </w:rPr>
        <w:t>Romeo</w:t>
      </w:r>
      <w:r w:rsidRPr="00E367E7">
        <w:rPr>
          <w:rFonts w:ascii="Aparajita" w:hAnsi="Aparajita" w:cs="Aparajita"/>
          <w:b/>
          <w:bCs/>
          <w:lang w:val="en-US"/>
        </w:rPr>
        <w:t xml:space="preserve">’s best interest due to the physical and psychological distress caused by his respiratory symptoms. </w:t>
      </w:r>
      <w:r w:rsidR="00EB30B0">
        <w:rPr>
          <w:rFonts w:ascii="Aparajita" w:hAnsi="Aparajita" w:cs="Aparajita"/>
          <w:b/>
          <w:bCs/>
          <w:lang w:val="en-US"/>
        </w:rPr>
        <w:t>Romeo</w:t>
      </w:r>
      <w:r w:rsidRPr="00E367E7">
        <w:rPr>
          <w:rFonts w:ascii="Aparajita" w:hAnsi="Aparajita" w:cs="Aparajita"/>
          <w:b/>
          <w:bCs/>
          <w:lang w:val="en-US"/>
        </w:rPr>
        <w:t xml:space="preserve"> was humanely euthanized with the owner present.</w:t>
      </w:r>
    </w:p>
    <w:p w14:paraId="7A6D9D90" w14:textId="77777777" w:rsidR="00E367E7" w:rsidRPr="00E367E7" w:rsidRDefault="00E367E7" w:rsidP="00E367E7">
      <w:pPr>
        <w:rPr>
          <w:rFonts w:ascii="Aparajita" w:hAnsi="Aparajita" w:cs="Aparajita"/>
          <w:b/>
          <w:bCs/>
          <w:lang w:val="en-US"/>
        </w:rPr>
      </w:pPr>
    </w:p>
    <w:p w14:paraId="5A429340" w14:textId="623DA6EC"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Discussion: While </w:t>
      </w:r>
      <w:r w:rsidR="00EB30B0">
        <w:rPr>
          <w:rFonts w:ascii="Aparajita" w:hAnsi="Aparajita" w:cs="Aparajita"/>
          <w:b/>
          <w:bCs/>
          <w:lang w:val="en-US"/>
        </w:rPr>
        <w:t>Romeo</w:t>
      </w:r>
      <w:r w:rsidRPr="00E367E7">
        <w:rPr>
          <w:rFonts w:ascii="Aparajita" w:hAnsi="Aparajita" w:cs="Aparajita"/>
          <w:b/>
          <w:bCs/>
          <w:lang w:val="en-US"/>
        </w:rPr>
        <w:t xml:space="preserve"> was suffering from two unrelated but serious medical conditions, there was no evidence of neglect or abuse of this patient. Both of these conditions occur spontaneously and is not due to any human wrongdoing or error.</w:t>
      </w:r>
    </w:p>
    <w:p w14:paraId="4717D47E" w14:textId="77777777" w:rsidR="00E367E7" w:rsidRPr="00E367E7" w:rsidRDefault="00E367E7" w:rsidP="00E367E7">
      <w:pPr>
        <w:rPr>
          <w:rFonts w:ascii="Aparajita" w:hAnsi="Aparajita" w:cs="Aparajita"/>
          <w:b/>
          <w:bCs/>
          <w:lang w:val="en-US"/>
        </w:rPr>
      </w:pPr>
    </w:p>
    <w:p w14:paraId="783FC23B" w14:textId="291E6C84" w:rsidR="00E367E7" w:rsidRPr="00E367E7" w:rsidRDefault="00EB30B0" w:rsidP="00E367E7">
      <w:pPr>
        <w:rPr>
          <w:rFonts w:ascii="Aparajita" w:hAnsi="Aparajita" w:cs="Aparajita"/>
          <w:b/>
          <w:bCs/>
          <w:lang w:val="en-US"/>
        </w:rPr>
      </w:pPr>
      <w:r>
        <w:rPr>
          <w:rFonts w:ascii="Aparajita" w:hAnsi="Aparajita" w:cs="Aparajita"/>
          <w:b/>
          <w:bCs/>
          <w:lang w:val="en-US"/>
        </w:rPr>
        <w:t>Romeo</w:t>
      </w:r>
      <w:r w:rsidR="00E367E7" w:rsidRPr="00E367E7">
        <w:rPr>
          <w:rFonts w:ascii="Aparajita" w:hAnsi="Aparajita" w:cs="Aparajita"/>
          <w:b/>
          <w:bCs/>
          <w:lang w:val="en-US"/>
        </w:rPr>
        <w:t>’s weight loss and poor coat was not caused by lack of nutritious food, lack of grooming or poor hygiene, but rather by hyperthyroidism, which occurs spontaneously and can have a slow onset with vague symptoms that even veterinarians do not always recognize in the early stages, and only in the later stages do symptoms progress more rapidly and become recognizable as a problem. The early stages can easily be mistaken for normal age-related changes in coat and muscle condition.</w:t>
      </w:r>
    </w:p>
    <w:p w14:paraId="410B572E" w14:textId="77777777" w:rsidR="00E367E7" w:rsidRPr="00E367E7" w:rsidRDefault="00E367E7" w:rsidP="00E367E7">
      <w:pPr>
        <w:rPr>
          <w:rFonts w:ascii="Aparajita" w:hAnsi="Aparajita" w:cs="Aparajita"/>
          <w:b/>
          <w:bCs/>
          <w:lang w:val="en-US"/>
        </w:rPr>
      </w:pPr>
    </w:p>
    <w:p w14:paraId="6B1C6264" w14:textId="1FBB8FBB"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While tachypnoea can also be a symptom of hyperthyroidism, in </w:t>
      </w:r>
      <w:r w:rsidR="00EB30B0">
        <w:rPr>
          <w:rFonts w:ascii="Aparajita" w:hAnsi="Aparajita" w:cs="Aparajita"/>
          <w:b/>
          <w:bCs/>
          <w:lang w:val="en-US"/>
        </w:rPr>
        <w:t>Romeo</w:t>
      </w:r>
      <w:r w:rsidRPr="00E367E7">
        <w:rPr>
          <w:rFonts w:ascii="Aparajita" w:hAnsi="Aparajita" w:cs="Aparajita"/>
          <w:b/>
          <w:bCs/>
          <w:lang w:val="en-US"/>
        </w:rPr>
        <w:t xml:space="preserve">’s case it was due to a pleural and pericardial effusion – the accumulation of fluid in the pleural and pericardial spaces. Differential diagnoses for this fluid include low or high protein transudates, or exudates such as pus, blood or chyle, and the cause of the effusion can only </w:t>
      </w:r>
      <w:proofErr w:type="spellStart"/>
      <w:r w:rsidRPr="00E367E7">
        <w:rPr>
          <w:rFonts w:ascii="Aparajita" w:hAnsi="Aparajita" w:cs="Aparajita"/>
          <w:b/>
          <w:bCs/>
          <w:lang w:val="en-US"/>
        </w:rPr>
        <w:t>determined</w:t>
      </w:r>
      <w:proofErr w:type="spellEnd"/>
      <w:r w:rsidRPr="00E367E7">
        <w:rPr>
          <w:rFonts w:ascii="Aparajita" w:hAnsi="Aparajita" w:cs="Aparajita"/>
          <w:b/>
          <w:bCs/>
          <w:lang w:val="en-US"/>
        </w:rPr>
        <w:t xml:space="preserve"> once we know what type of fluid it consists of.</w:t>
      </w:r>
    </w:p>
    <w:p w14:paraId="3AF778A2" w14:textId="77777777" w:rsidR="00E367E7" w:rsidRPr="00E367E7" w:rsidRDefault="00E367E7" w:rsidP="00E367E7">
      <w:pPr>
        <w:rPr>
          <w:rFonts w:ascii="Aparajita" w:hAnsi="Aparajita" w:cs="Aparajita"/>
          <w:b/>
          <w:bCs/>
          <w:lang w:val="en-US"/>
        </w:rPr>
      </w:pPr>
    </w:p>
    <w:p w14:paraId="42DBC4AE" w14:textId="1C5B99F8"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The definitive cause of the effusion was not determined in </w:t>
      </w:r>
      <w:r w:rsidR="00EB30B0">
        <w:rPr>
          <w:rFonts w:ascii="Aparajita" w:hAnsi="Aparajita" w:cs="Aparajita"/>
          <w:b/>
          <w:bCs/>
          <w:lang w:val="en-US"/>
        </w:rPr>
        <w:t>Romeo</w:t>
      </w:r>
      <w:r w:rsidRPr="00E367E7">
        <w:rPr>
          <w:rFonts w:ascii="Aparajita" w:hAnsi="Aparajita" w:cs="Aparajita"/>
          <w:b/>
          <w:bCs/>
          <w:lang w:val="en-US"/>
        </w:rPr>
        <w:t xml:space="preserve">’s case because sampling of pleural and pericardial effusions is a high-risk specialist procedure which would have required referral. However, regardless of the cause, the prognosis was very poor, and even if there were unlimited finances for referral, one must always ask if this is in the best interest of the patient. </w:t>
      </w:r>
    </w:p>
    <w:p w14:paraId="04151B49" w14:textId="77777777" w:rsidR="00E367E7" w:rsidRPr="00E367E7" w:rsidRDefault="00E367E7" w:rsidP="00E367E7">
      <w:pPr>
        <w:rPr>
          <w:rFonts w:ascii="Aparajita" w:hAnsi="Aparajita" w:cs="Aparajita"/>
          <w:b/>
          <w:bCs/>
          <w:lang w:val="en-US"/>
        </w:rPr>
      </w:pPr>
    </w:p>
    <w:p w14:paraId="38C46B5A" w14:textId="58E5C39E"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In </w:t>
      </w:r>
      <w:r w:rsidR="00EB30B0">
        <w:rPr>
          <w:rFonts w:ascii="Aparajita" w:hAnsi="Aparajita" w:cs="Aparajita"/>
          <w:b/>
          <w:bCs/>
          <w:lang w:val="en-US"/>
        </w:rPr>
        <w:t>Romeo</w:t>
      </w:r>
      <w:r w:rsidRPr="00E367E7">
        <w:rPr>
          <w:rFonts w:ascii="Aparajita" w:hAnsi="Aparajita" w:cs="Aparajita"/>
          <w:b/>
          <w:bCs/>
          <w:lang w:val="en-US"/>
        </w:rPr>
        <w:t xml:space="preserve">’s case, it was determined that the stress of an extended hospital stay with repeated painful, complex medical procedures that had a low chance of success was not in his best interest. After discussing with the owner that the respiratory distress </w:t>
      </w:r>
      <w:r w:rsidR="00EB30B0">
        <w:rPr>
          <w:rFonts w:ascii="Aparajita" w:hAnsi="Aparajita" w:cs="Aparajita"/>
          <w:b/>
          <w:bCs/>
          <w:lang w:val="en-US"/>
        </w:rPr>
        <w:t>Romeo</w:t>
      </w:r>
      <w:r w:rsidRPr="00E367E7">
        <w:rPr>
          <w:rFonts w:ascii="Aparajita" w:hAnsi="Aparajita" w:cs="Aparajita"/>
          <w:b/>
          <w:bCs/>
          <w:lang w:val="en-US"/>
        </w:rPr>
        <w:t xml:space="preserve"> is experiencing is a major quality of life concern and is only going to get worse, it was mutually decided that humane euthanasia before his symptoms progress is the kindest option for </w:t>
      </w:r>
      <w:r w:rsidR="00EB30B0">
        <w:rPr>
          <w:rFonts w:ascii="Aparajita" w:hAnsi="Aparajita" w:cs="Aparajita"/>
          <w:b/>
          <w:bCs/>
          <w:lang w:val="en-US"/>
        </w:rPr>
        <w:t>Romeo</w:t>
      </w:r>
      <w:r w:rsidRPr="00E367E7">
        <w:rPr>
          <w:rFonts w:ascii="Aparajita" w:hAnsi="Aparajita" w:cs="Aparajita"/>
          <w:b/>
          <w:bCs/>
          <w:lang w:val="en-US"/>
        </w:rPr>
        <w:t>.</w:t>
      </w:r>
    </w:p>
    <w:p w14:paraId="62573F7F" w14:textId="77777777" w:rsidR="00E367E7" w:rsidRPr="00E367E7" w:rsidRDefault="00E367E7" w:rsidP="00E367E7">
      <w:pPr>
        <w:rPr>
          <w:rFonts w:ascii="Aparajita" w:hAnsi="Aparajita" w:cs="Aparajita"/>
          <w:b/>
          <w:bCs/>
          <w:lang w:val="en-US"/>
        </w:rPr>
      </w:pPr>
    </w:p>
    <w:p w14:paraId="482BE93E"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If there are any further queries about this case, please do not hesitate to contact me.</w:t>
      </w:r>
    </w:p>
    <w:p w14:paraId="2644FA3F"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 xml:space="preserve">Kind regards, </w:t>
      </w:r>
    </w:p>
    <w:p w14:paraId="7BDD2BEA" w14:textId="77777777" w:rsidR="00E367E7" w:rsidRDefault="00E367E7" w:rsidP="00E367E7">
      <w:pPr>
        <w:rPr>
          <w:rFonts w:ascii="Aparajita" w:hAnsi="Aparajita" w:cs="Aparajita"/>
          <w:b/>
          <w:bCs/>
          <w:lang w:val="en-US"/>
        </w:rPr>
      </w:pPr>
    </w:p>
    <w:p w14:paraId="0941AF6C" w14:textId="68901E09" w:rsidR="00E367E7" w:rsidRPr="00E367E7" w:rsidRDefault="00E367E7" w:rsidP="00E367E7">
      <w:pPr>
        <w:rPr>
          <w:rFonts w:ascii="Aparajita" w:hAnsi="Aparajita" w:cs="Aparajita"/>
          <w:b/>
          <w:bCs/>
          <w:lang w:val="en-US"/>
        </w:rPr>
      </w:pPr>
      <w:r w:rsidRPr="00E367E7">
        <w:rPr>
          <w:rFonts w:ascii="Aparajita" w:hAnsi="Aparajita" w:cs="Aparajita"/>
          <w:b/>
          <w:bCs/>
          <w:noProof/>
        </w:rPr>
        <mc:AlternateContent>
          <mc:Choice Requires="wps">
            <w:drawing>
              <wp:anchor distT="0" distB="0" distL="114300" distR="114300" simplePos="0" relativeHeight="251663360" behindDoc="0" locked="0" layoutInCell="1" allowOverlap="1" wp14:anchorId="1D722A35" wp14:editId="21712AD3">
                <wp:simplePos x="0" y="0"/>
                <wp:positionH relativeFrom="column">
                  <wp:posOffset>19050</wp:posOffset>
                </wp:positionH>
                <wp:positionV relativeFrom="paragraph">
                  <wp:posOffset>130810</wp:posOffset>
                </wp:positionV>
                <wp:extent cx="2028825" cy="9525"/>
                <wp:effectExtent l="0" t="0" r="28575" b="28575"/>
                <wp:wrapNone/>
                <wp:docPr id="435045980" name="Straight Connector 4"/>
                <wp:cNvGraphicFramePr/>
                <a:graphic xmlns:a="http://schemas.openxmlformats.org/drawingml/2006/main">
                  <a:graphicData uri="http://schemas.microsoft.com/office/word/2010/wordprocessingShape">
                    <wps:wsp>
                      <wps:cNvCnPr/>
                      <wps:spPr>
                        <a:xfrm>
                          <a:off x="0" y="0"/>
                          <a:ext cx="202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7291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3pt" to="161.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" strokecolor="black [3040]"/>
            </w:pict>
          </mc:Fallback>
        </mc:AlternateContent>
      </w:r>
      <w:r w:rsidRPr="00E367E7">
        <w:rPr>
          <w:rFonts w:ascii="Aparajita" w:hAnsi="Aparajita" w:cs="Aparajita"/>
          <w:b/>
          <w:bCs/>
          <w:noProof/>
        </w:rPr>
        <mc:AlternateContent>
          <mc:Choice Requires="wps">
            <w:drawing>
              <wp:anchor distT="0" distB="0" distL="114300" distR="114300" simplePos="0" relativeHeight="251664384" behindDoc="0" locked="0" layoutInCell="1" allowOverlap="1" wp14:anchorId="3FCA0706" wp14:editId="793BB3A3">
                <wp:simplePos x="0" y="0"/>
                <wp:positionH relativeFrom="column">
                  <wp:posOffset>4086225</wp:posOffset>
                </wp:positionH>
                <wp:positionV relativeFrom="paragraph">
                  <wp:posOffset>152400</wp:posOffset>
                </wp:positionV>
                <wp:extent cx="2028825" cy="9525"/>
                <wp:effectExtent l="0" t="0" r="28575" b="28575"/>
                <wp:wrapNone/>
                <wp:docPr id="1384141092" name="Straight Connector 3"/>
                <wp:cNvGraphicFramePr/>
                <a:graphic xmlns:a="http://schemas.openxmlformats.org/drawingml/2006/main">
                  <a:graphicData uri="http://schemas.microsoft.com/office/word/2010/wordprocessingShape">
                    <wps:wsp>
                      <wps:cNvCnPr/>
                      <wps:spPr>
                        <a:xfrm>
                          <a:off x="0" y="0"/>
                          <a:ext cx="202882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E2E37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75pt,12pt" to="4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" strokecolor="windowText" strokeweight=".5pt">
                <v:stroke joinstyle="miter"/>
              </v:line>
            </w:pict>
          </mc:Fallback>
        </mc:AlternateContent>
      </w:r>
    </w:p>
    <w:p w14:paraId="37F36AB2" w14:textId="77777777" w:rsidR="00E367E7" w:rsidRPr="00E367E7" w:rsidRDefault="00E367E7" w:rsidP="00E367E7">
      <w:pPr>
        <w:rPr>
          <w:rFonts w:ascii="Aparajita" w:hAnsi="Aparajita" w:cs="Aparajita"/>
          <w:b/>
          <w:bCs/>
          <w:lang w:val="en-US"/>
        </w:rPr>
      </w:pPr>
      <w:r w:rsidRPr="00E367E7">
        <w:rPr>
          <w:rFonts w:ascii="Aparajita" w:hAnsi="Aparajita" w:cs="Aparajita"/>
          <w:b/>
          <w:bCs/>
          <w:lang w:val="en-US"/>
        </w:rPr>
        <w:t>Dr Sune Olivier, BVSc</w:t>
      </w:r>
      <w:r w:rsidRPr="00E367E7">
        <w:rPr>
          <w:rFonts w:ascii="Aparajita" w:hAnsi="Aparajita" w:cs="Aparajita"/>
          <w:b/>
          <w:bCs/>
          <w:lang w:val="en-US"/>
        </w:rPr>
        <w:tab/>
        <w:t>Date: 03/11/2025</w:t>
      </w:r>
    </w:p>
    <w:p w14:paraId="60620FB9" w14:textId="1E6E9D3C" w:rsidR="00351852" w:rsidRPr="00E367E7" w:rsidRDefault="00E367E7" w:rsidP="00942A45">
      <w:pPr>
        <w:rPr>
          <w:rFonts w:ascii="Aparajita" w:hAnsi="Aparajita" w:cs="Aparajita"/>
          <w:b/>
          <w:bCs/>
          <w:lang w:val="en-US"/>
        </w:rPr>
        <w:sectPr w:rsidR="00351852" w:rsidRPr="00E367E7" w:rsidSect="00404846">
          <w:type w:val="continuous"/>
          <w:pgSz w:w="11906" w:h="16838"/>
          <w:pgMar w:top="720" w:right="720" w:bottom="720" w:left="720" w:header="708" w:footer="708" w:gutter="0"/>
          <w:cols w:space="708"/>
          <w:docGrid w:linePitch="360"/>
        </w:sectPr>
      </w:pPr>
      <w:r w:rsidRPr="00E367E7">
        <w:rPr>
          <w:rFonts w:ascii="Aparajita" w:hAnsi="Aparajita" w:cs="Aparajita"/>
          <w:b/>
          <w:bCs/>
          <w:lang w:val="en-US"/>
        </w:rPr>
        <w:t>SAVC no.: D23/16</w:t>
      </w:r>
      <w:r w:rsidR="000064D4">
        <w:rPr>
          <w:rFonts w:ascii="Aparajita" w:hAnsi="Aparajita" w:cs="Aparajita"/>
          <w:b/>
          <w:bCs/>
          <w:lang w:val="en-US"/>
        </w:rPr>
        <w:t>166</w:t>
      </w:r>
    </w:p>
    <w:p w14:paraId="0F6EBCA7" w14:textId="2190249B" w:rsidR="00D84A0A" w:rsidRPr="00C1316E" w:rsidRDefault="00D84A0A" w:rsidP="00E367E7">
      <w:pPr>
        <w:rPr>
          <w:sz w:val="24"/>
          <w:szCs w:val="24"/>
        </w:rPr>
      </w:pPr>
    </w:p>
    <w:sectPr w:rsidR="00D84A0A" w:rsidRPr="00C1316E" w:rsidSect="00FC2826">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arajita">
    <w:altName w:val="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A1"/>
    <w:rsid w:val="000064D4"/>
    <w:rsid w:val="000660A6"/>
    <w:rsid w:val="000B23A1"/>
    <w:rsid w:val="000E7864"/>
    <w:rsid w:val="00126FD2"/>
    <w:rsid w:val="00146EA6"/>
    <w:rsid w:val="00164578"/>
    <w:rsid w:val="001766BA"/>
    <w:rsid w:val="00186265"/>
    <w:rsid w:val="001C4AF7"/>
    <w:rsid w:val="00226E74"/>
    <w:rsid w:val="00254872"/>
    <w:rsid w:val="00285F4B"/>
    <w:rsid w:val="002D144C"/>
    <w:rsid w:val="002E07F1"/>
    <w:rsid w:val="002E1406"/>
    <w:rsid w:val="002F071F"/>
    <w:rsid w:val="003017E7"/>
    <w:rsid w:val="00330B5D"/>
    <w:rsid w:val="00351852"/>
    <w:rsid w:val="003D0FA0"/>
    <w:rsid w:val="003E733D"/>
    <w:rsid w:val="00404846"/>
    <w:rsid w:val="004278F7"/>
    <w:rsid w:val="004D61ED"/>
    <w:rsid w:val="004D6EB6"/>
    <w:rsid w:val="00510ABF"/>
    <w:rsid w:val="005212FF"/>
    <w:rsid w:val="005545FF"/>
    <w:rsid w:val="005600E8"/>
    <w:rsid w:val="00590899"/>
    <w:rsid w:val="005E1EEB"/>
    <w:rsid w:val="0061623F"/>
    <w:rsid w:val="00677731"/>
    <w:rsid w:val="006D042B"/>
    <w:rsid w:val="006F23AD"/>
    <w:rsid w:val="006F76EC"/>
    <w:rsid w:val="00740A6B"/>
    <w:rsid w:val="00766C9C"/>
    <w:rsid w:val="007D3B0C"/>
    <w:rsid w:val="00840562"/>
    <w:rsid w:val="008D638F"/>
    <w:rsid w:val="008F7489"/>
    <w:rsid w:val="00905069"/>
    <w:rsid w:val="00942A45"/>
    <w:rsid w:val="00955C7D"/>
    <w:rsid w:val="00956374"/>
    <w:rsid w:val="00961C4B"/>
    <w:rsid w:val="009B746E"/>
    <w:rsid w:val="009C4BE5"/>
    <w:rsid w:val="00A63705"/>
    <w:rsid w:val="00AC75F9"/>
    <w:rsid w:val="00AE3134"/>
    <w:rsid w:val="00AF3A6F"/>
    <w:rsid w:val="00B37242"/>
    <w:rsid w:val="00B4524C"/>
    <w:rsid w:val="00B70976"/>
    <w:rsid w:val="00B75A66"/>
    <w:rsid w:val="00C0112B"/>
    <w:rsid w:val="00C1316E"/>
    <w:rsid w:val="00C71788"/>
    <w:rsid w:val="00C7675C"/>
    <w:rsid w:val="00D031F4"/>
    <w:rsid w:val="00D21B93"/>
    <w:rsid w:val="00D84A0A"/>
    <w:rsid w:val="00D911A1"/>
    <w:rsid w:val="00DA0C6B"/>
    <w:rsid w:val="00DE1758"/>
    <w:rsid w:val="00E367E7"/>
    <w:rsid w:val="00E7086E"/>
    <w:rsid w:val="00EB30B0"/>
    <w:rsid w:val="00EC22ED"/>
    <w:rsid w:val="00EE083E"/>
    <w:rsid w:val="00F04F45"/>
    <w:rsid w:val="00F97855"/>
    <w:rsid w:val="00FC28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17057"/>
  <w15:docId w15:val="{B06B5494-BA2A-49F4-8EDD-FE1D4664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3A1"/>
    <w:rPr>
      <w:rFonts w:ascii="Tahoma" w:hAnsi="Tahoma" w:cs="Tahoma"/>
      <w:sz w:val="16"/>
      <w:szCs w:val="16"/>
    </w:rPr>
  </w:style>
  <w:style w:type="table" w:styleId="TableGrid">
    <w:name w:val="Table Grid"/>
    <w:basedOn w:val="TableNormal"/>
    <w:uiPriority w:val="59"/>
    <w:rsid w:val="00C7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000863">
      <w:bodyDiv w:val="1"/>
      <w:marLeft w:val="0"/>
      <w:marRight w:val="0"/>
      <w:marTop w:val="0"/>
      <w:marBottom w:val="0"/>
      <w:divBdr>
        <w:top w:val="none" w:sz="0" w:space="0" w:color="auto"/>
        <w:left w:val="none" w:sz="0" w:space="0" w:color="auto"/>
        <w:bottom w:val="none" w:sz="0" w:space="0" w:color="auto"/>
        <w:right w:val="none" w:sz="0" w:space="0" w:color="auto"/>
      </w:divBdr>
    </w:div>
    <w:div w:id="1549414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D1B17-11B3-443D-AF25-C46CF1DA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4297</Characters>
  <Application>Microsoft Office Word</Application>
  <DocSecurity>0</DocSecurity>
  <Lines>75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Kleinschmidt</dc:creator>
  <cp:keywords/>
  <dc:description/>
  <cp:lastModifiedBy>Duynevet Jasper</cp:lastModifiedBy>
  <cp:revision>4</cp:revision>
  <cp:lastPrinted>2025-11-03T07:15:00Z</cp:lastPrinted>
  <dcterms:created xsi:type="dcterms:W3CDTF">2025-11-03T07:06:00Z</dcterms:created>
  <dcterms:modified xsi:type="dcterms:W3CDTF">2025-11-03T07:42:00Z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703d282e-843a-472c-b7d1-9863860e63ad</vt:lpwstr>
  </property>
</Properties>
</file>